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A9" w:rsidRPr="00BB76A9" w:rsidRDefault="00BB76A9" w:rsidP="00BB76A9">
      <w:pPr>
        <w:spacing w:before="100" w:beforeAutospacing="1" w:after="100" w:afterAutospacing="1" w:line="240" w:lineRule="auto"/>
        <w:jc w:val="both"/>
        <w:outlineLvl w:val="0"/>
        <w:rPr>
          <w:rFonts w:eastAsia="Times New Roman" w:cstheme="minorHAnsi"/>
          <w:b/>
          <w:bCs/>
          <w:kern w:val="36"/>
          <w:sz w:val="48"/>
          <w:szCs w:val="48"/>
          <w:lang w:eastAsia="fr-FR"/>
        </w:rPr>
      </w:pPr>
      <w:r w:rsidRPr="00BB76A9">
        <w:rPr>
          <w:rFonts w:eastAsia="Times New Roman" w:cstheme="minorHAnsi"/>
          <w:b/>
          <w:bCs/>
          <w:kern w:val="36"/>
          <w:sz w:val="48"/>
          <w:szCs w:val="48"/>
          <w:lang w:eastAsia="fr-FR"/>
        </w:rPr>
        <w:t xml:space="preserve">Les données retenues pour l'observatoire interministériel des restitutions </w:t>
      </w:r>
    </w:p>
    <w:p w:rsidR="00BB76A9" w:rsidRPr="00BB76A9" w:rsidRDefault="00BB76A9" w:rsidP="00BB76A9">
      <w:pPr>
        <w:spacing w:before="100" w:beforeAutospacing="1" w:after="100" w:afterAutospacing="1" w:line="240" w:lineRule="auto"/>
        <w:jc w:val="both"/>
        <w:rPr>
          <w:rFonts w:eastAsia="Times New Roman" w:cstheme="minorHAnsi"/>
          <w:sz w:val="24"/>
          <w:szCs w:val="24"/>
          <w:lang w:eastAsia="fr-FR"/>
        </w:rPr>
      </w:pPr>
      <w:r w:rsidRPr="00BB76A9">
        <w:rPr>
          <w:rFonts w:eastAsia="Times New Roman" w:cstheme="minorHAnsi"/>
          <w:sz w:val="24"/>
          <w:szCs w:val="24"/>
          <w:lang w:eastAsia="fr-FR"/>
        </w:rPr>
        <w:t>Cet observatoire fournit des informations sur chaque demande de restitution  menée auprès d’un détenteur : date de l’action ou de la vente, nombre de lots concernés, description, types de documents, périodes concernées, services instructeur et destinataire et issue de l’action.</w:t>
      </w:r>
    </w:p>
    <w:p w:rsidR="008366DB" w:rsidRDefault="00BB76A9" w:rsidP="00BB76A9">
      <w:pPr>
        <w:spacing w:before="100" w:beforeAutospacing="1" w:after="100" w:afterAutospacing="1" w:line="240" w:lineRule="auto"/>
        <w:jc w:val="both"/>
        <w:rPr>
          <w:rFonts w:eastAsia="Times New Roman" w:cstheme="minorHAnsi"/>
          <w:sz w:val="24"/>
          <w:szCs w:val="24"/>
          <w:lang w:eastAsia="fr-FR"/>
        </w:rPr>
      </w:pPr>
      <w:r w:rsidRPr="00BB76A9">
        <w:rPr>
          <w:rFonts w:eastAsia="Times New Roman" w:cstheme="minorHAnsi"/>
          <w:sz w:val="24"/>
          <w:szCs w:val="24"/>
          <w:lang w:eastAsia="fr-FR"/>
        </w:rPr>
        <w:t>Une action en revendication consiste à signaler par courrier recommandé à un détenteur, qu’il s’agisse d’un mandataire (maison de ventes, librairie, expert) ou d’un détenteur individuel, que l’administration entend demander la restitution d’un ou de plusieurs documents mis en vente, en raison de leur caractère public.</w:t>
      </w:r>
      <w:bookmarkStart w:id="0" w:name="_GoBack"/>
      <w:bookmarkEnd w:id="0"/>
    </w:p>
    <w:tbl>
      <w:tblPr>
        <w:tblW w:w="4993" w:type="pct"/>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2123"/>
        <w:gridCol w:w="6920"/>
      </w:tblGrid>
      <w:tr w:rsidR="008366DB" w:rsidRPr="00BB76A9" w:rsidTr="008366DB">
        <w:trPr>
          <w:trHeight w:val="336"/>
        </w:trPr>
        <w:tc>
          <w:tcPr>
            <w:tcW w:w="1174" w:type="pct"/>
            <w:tcBorders>
              <w:top w:val="single" w:sz="6" w:space="0" w:color="000000"/>
              <w:left w:val="single" w:sz="6" w:space="0" w:color="000000"/>
              <w:bottom w:val="single" w:sz="6" w:space="0" w:color="000000"/>
              <w:right w:val="single" w:sz="6" w:space="0" w:color="000000"/>
            </w:tcBorders>
            <w:vAlign w:val="center"/>
            <w:hideMark/>
          </w:tcPr>
          <w:p w:rsidR="008366DB" w:rsidRPr="008366DB" w:rsidRDefault="008366DB" w:rsidP="00391FAB">
            <w:pPr>
              <w:spacing w:after="0" w:line="240" w:lineRule="auto"/>
              <w:jc w:val="both"/>
              <w:rPr>
                <w:rFonts w:eastAsia="Times New Roman" w:cstheme="minorHAnsi"/>
                <w:b/>
                <w:bCs/>
                <w:sz w:val="24"/>
                <w:szCs w:val="24"/>
                <w:lang w:eastAsia="fr-FR"/>
              </w:rPr>
            </w:pPr>
            <w:r w:rsidRPr="00BB76A9">
              <w:rPr>
                <w:rFonts w:eastAsia="Times New Roman" w:cstheme="minorHAnsi"/>
                <w:b/>
                <w:bCs/>
                <w:sz w:val="24"/>
                <w:szCs w:val="24"/>
                <w:lang w:eastAsia="fr-FR"/>
              </w:rPr>
              <w:t>Secteur</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8366DB" w:rsidRPr="00BB76A9" w:rsidRDefault="008366DB" w:rsidP="00391FAB">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 En matière de gestion d’archives, trois administrations sont habilitées à agir sur ce terrain : le ministère de l’Europe et des Affaires étrangères (Affaires étrangères), le ministère des Armées (Armées) pour leur périmètre propre, et le ministère de la Culture (Culture) pour l’ensemble des autres secteurs ministériels.</w:t>
            </w:r>
          </w:p>
        </w:tc>
      </w:tr>
      <w:tr w:rsidR="00BB76A9" w:rsidRPr="00BB76A9" w:rsidTr="000F253A">
        <w:trPr>
          <w:trHeight w:val="336"/>
        </w:trPr>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Numéro d’action</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Numéro d’enregistrement de toute nouvelle demande de restitution effectuée auprès d’un détenteur par un acteur public pour un service public.</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Type d’opérateur </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Personne physique ou morale après de laquelle est effectuée la demande de restitution : maison de vente, site internet, libraire, particulier. </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 Nombre de lots</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Un lot proposé à la vente comporte un ou plusieurs documents. Il s’agit du nombre de lots visés par la demande de restitution – certaines actions ne touchant qu’une partie d’un lot proposé à la vente. </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 Description</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 Intitulé et description des documents.</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 Typologie documentaire</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 Plusieurs typologies documentaires ont été retenues : archives administratives [</w:t>
            </w:r>
            <w:r w:rsidRPr="00BB76A9">
              <w:rPr>
                <w:rFonts w:eastAsia="Times New Roman" w:cstheme="minorHAnsi"/>
                <w:i/>
                <w:iCs/>
                <w:sz w:val="24"/>
                <w:szCs w:val="24"/>
                <w:lang w:eastAsia="fr-FR"/>
              </w:rPr>
              <w:t>arch. Adm</w:t>
            </w:r>
            <w:r w:rsidRPr="00BB76A9">
              <w:rPr>
                <w:rFonts w:eastAsia="Times New Roman" w:cstheme="minorHAnsi"/>
                <w:sz w:val="24"/>
                <w:szCs w:val="24"/>
                <w:lang w:eastAsia="fr-FR"/>
              </w:rPr>
              <w:t>.] (correspondance, rapports, notes y compris en format manuscrit ou à l’état de brouillon, produits ou échangés entre personnes exerçant une fonction publique et traitant de la conduite des affaires publiques), archives notariales [</w:t>
            </w:r>
            <w:r w:rsidRPr="00BB76A9">
              <w:rPr>
                <w:rFonts w:eastAsia="Times New Roman" w:cstheme="minorHAnsi"/>
                <w:i/>
                <w:iCs/>
                <w:sz w:val="24"/>
                <w:szCs w:val="24"/>
                <w:lang w:eastAsia="fr-FR"/>
              </w:rPr>
              <w:t>arch. not</w:t>
            </w:r>
            <w:r w:rsidRPr="00BB76A9">
              <w:rPr>
                <w:rFonts w:eastAsia="Times New Roman" w:cstheme="minorHAnsi"/>
                <w:sz w:val="24"/>
                <w:szCs w:val="24"/>
                <w:lang w:eastAsia="fr-FR"/>
              </w:rPr>
              <w:t xml:space="preserve">.] (en dehors des dossiers clients), </w:t>
            </w:r>
            <w:r w:rsidRPr="00BB76A9">
              <w:rPr>
                <w:rFonts w:eastAsia="Times New Roman" w:cstheme="minorHAnsi"/>
                <w:i/>
                <w:iCs/>
                <w:sz w:val="24"/>
                <w:szCs w:val="24"/>
                <w:lang w:eastAsia="fr-FR"/>
              </w:rPr>
              <w:t>archives familiales et personnelles,</w:t>
            </w:r>
            <w:r w:rsidRPr="00BB76A9">
              <w:rPr>
                <w:rFonts w:eastAsia="Times New Roman" w:cstheme="minorHAnsi"/>
                <w:sz w:val="24"/>
                <w:szCs w:val="24"/>
                <w:lang w:eastAsia="fr-FR"/>
              </w:rPr>
              <w:t xml:space="preserve"> </w:t>
            </w:r>
            <w:r w:rsidRPr="00BB76A9">
              <w:rPr>
                <w:rFonts w:eastAsia="Times New Roman" w:cstheme="minorHAnsi"/>
                <w:i/>
                <w:iCs/>
                <w:sz w:val="24"/>
                <w:szCs w:val="24"/>
                <w:lang w:eastAsia="fr-FR"/>
              </w:rPr>
              <w:t>papiers de fonction</w:t>
            </w:r>
            <w:r w:rsidRPr="00BB76A9">
              <w:rPr>
                <w:rFonts w:eastAsia="Times New Roman" w:cstheme="minorHAnsi"/>
                <w:sz w:val="24"/>
                <w:szCs w:val="24"/>
                <w:lang w:eastAsia="fr-FR"/>
              </w:rPr>
              <w:t xml:space="preserve"> (archives produites par une personne dans l’exercice de ses fonctions publiques), </w:t>
            </w:r>
            <w:r w:rsidRPr="00BB76A9">
              <w:rPr>
                <w:rFonts w:eastAsia="Times New Roman" w:cstheme="minorHAnsi"/>
                <w:i/>
                <w:iCs/>
                <w:sz w:val="24"/>
                <w:szCs w:val="24"/>
                <w:lang w:eastAsia="fr-FR"/>
              </w:rPr>
              <w:t>iconographie</w:t>
            </w:r>
            <w:r w:rsidRPr="00BB76A9">
              <w:rPr>
                <w:rFonts w:eastAsia="Times New Roman" w:cstheme="minorHAnsi"/>
                <w:sz w:val="24"/>
                <w:szCs w:val="24"/>
                <w:lang w:eastAsia="fr-FR"/>
              </w:rPr>
              <w:t xml:space="preserve"> (cartes, plans, dessins, …), registres paroissiaux et d’état civil [</w:t>
            </w:r>
            <w:r w:rsidRPr="00BB76A9">
              <w:rPr>
                <w:rFonts w:eastAsia="Times New Roman" w:cstheme="minorHAnsi"/>
                <w:i/>
                <w:iCs/>
                <w:sz w:val="24"/>
                <w:szCs w:val="24"/>
                <w:lang w:eastAsia="fr-FR"/>
              </w:rPr>
              <w:t>état civil</w:t>
            </w:r>
            <w:r w:rsidRPr="00BB76A9">
              <w:rPr>
                <w:rFonts w:eastAsia="Times New Roman" w:cstheme="minorHAnsi"/>
                <w:sz w:val="24"/>
                <w:szCs w:val="24"/>
                <w:lang w:eastAsia="fr-FR"/>
              </w:rPr>
              <w:t xml:space="preserve">], </w:t>
            </w:r>
            <w:r w:rsidRPr="00BB76A9">
              <w:rPr>
                <w:rFonts w:eastAsia="Times New Roman" w:cstheme="minorHAnsi"/>
                <w:i/>
                <w:iCs/>
                <w:sz w:val="24"/>
                <w:szCs w:val="24"/>
                <w:lang w:eastAsia="fr-FR"/>
              </w:rPr>
              <w:t>composite</w:t>
            </w:r>
            <w:r w:rsidRPr="00BB76A9">
              <w:rPr>
                <w:rFonts w:eastAsia="Times New Roman" w:cstheme="minorHAnsi"/>
                <w:sz w:val="24"/>
                <w:szCs w:val="24"/>
                <w:lang w:eastAsia="fr-FR"/>
              </w:rPr>
              <w:t xml:space="preserve"> (mélange de différentes catégories documentaires).</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lastRenderedPageBreak/>
              <w:t>Période chronologique </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 Plusieurs périodes chronologiques ont été définies : Ancien Régime (jusqu’en 1789), Révolution-Empire (1789-1815), 19</w:t>
            </w:r>
            <w:r w:rsidRPr="00BB76A9">
              <w:rPr>
                <w:rFonts w:eastAsia="Times New Roman" w:cstheme="minorHAnsi"/>
                <w:sz w:val="24"/>
                <w:szCs w:val="24"/>
                <w:vertAlign w:val="superscript"/>
                <w:lang w:eastAsia="fr-FR"/>
              </w:rPr>
              <w:t>e</w:t>
            </w:r>
            <w:r w:rsidRPr="00BB76A9">
              <w:rPr>
                <w:rFonts w:eastAsia="Times New Roman" w:cstheme="minorHAnsi"/>
                <w:sz w:val="24"/>
                <w:szCs w:val="24"/>
                <w:lang w:eastAsia="fr-FR"/>
              </w:rPr>
              <w:t>-20</w:t>
            </w:r>
            <w:r w:rsidRPr="00BB76A9">
              <w:rPr>
                <w:rFonts w:eastAsia="Times New Roman" w:cstheme="minorHAnsi"/>
                <w:sz w:val="24"/>
                <w:szCs w:val="24"/>
                <w:vertAlign w:val="superscript"/>
                <w:lang w:eastAsia="fr-FR"/>
              </w:rPr>
              <w:t>e</w:t>
            </w:r>
            <w:r w:rsidRPr="00BB76A9">
              <w:rPr>
                <w:rFonts w:eastAsia="Times New Roman" w:cstheme="minorHAnsi"/>
                <w:sz w:val="24"/>
                <w:szCs w:val="24"/>
                <w:lang w:eastAsia="fr-FR"/>
              </w:rPr>
              <w:t xml:space="preserve"> siècles (1815-1999), période contemporaine (21</w:t>
            </w:r>
            <w:r w:rsidRPr="00BB76A9">
              <w:rPr>
                <w:rFonts w:eastAsia="Times New Roman" w:cstheme="minorHAnsi"/>
                <w:sz w:val="24"/>
                <w:szCs w:val="24"/>
                <w:vertAlign w:val="superscript"/>
                <w:lang w:eastAsia="fr-FR"/>
              </w:rPr>
              <w:t>e</w:t>
            </w:r>
            <w:r w:rsidRPr="00BB76A9">
              <w:rPr>
                <w:rFonts w:eastAsia="Times New Roman" w:cstheme="minorHAnsi"/>
                <w:sz w:val="24"/>
                <w:szCs w:val="24"/>
                <w:lang w:eastAsia="fr-FR"/>
              </w:rPr>
              <w:t xml:space="preserve"> s.), composite (combinaison de plusieurs périodes).</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Service instructeur</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Service ayant émis et géré la demande de restitution : Service interministériel des Archives de France (SIAF), Ministère de l’Europe et des Affaires étrangères (MEAE), Direction du patrimoine, de la mémoire et de archives (DPMA), Archives départementales (AD), Archives municipales (AM), autres (autres institutions publiques : Institut de France, Académie des sciences, ….)</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Service destinataire</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Service destinataire des lots restitués en raison de la provenance des archives : Archives nationales (AN), Archives départementales (AD), Archives municipales (AM), autres (autres institutions publiques : Institut de France, Académie des sciences, ….)</w:t>
            </w:r>
          </w:p>
        </w:tc>
      </w:tr>
      <w:tr w:rsidR="00BB76A9" w:rsidRPr="00BB76A9" w:rsidTr="000F253A">
        <w:tc>
          <w:tcPr>
            <w:tcW w:w="1174"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b/>
                <w:bCs/>
                <w:sz w:val="24"/>
                <w:szCs w:val="24"/>
                <w:lang w:eastAsia="fr-FR"/>
              </w:rPr>
              <w:t>Issue de l’action</w:t>
            </w:r>
          </w:p>
        </w:tc>
        <w:tc>
          <w:tcPr>
            <w:tcW w:w="3826" w:type="pct"/>
            <w:tcBorders>
              <w:top w:val="single" w:sz="6" w:space="0" w:color="000000"/>
              <w:left w:val="single" w:sz="6" w:space="0" w:color="000000"/>
              <w:bottom w:val="single" w:sz="6" w:space="0" w:color="000000"/>
              <w:right w:val="single" w:sz="6" w:space="0" w:color="000000"/>
            </w:tcBorders>
            <w:vAlign w:val="center"/>
            <w:hideMark/>
          </w:tcPr>
          <w:p w:rsidR="00BB76A9" w:rsidRPr="00BB76A9" w:rsidRDefault="00BB76A9" w:rsidP="00BB76A9">
            <w:pPr>
              <w:spacing w:after="0" w:line="240" w:lineRule="auto"/>
              <w:jc w:val="both"/>
              <w:rPr>
                <w:rFonts w:eastAsia="Times New Roman" w:cstheme="minorHAnsi"/>
                <w:sz w:val="24"/>
                <w:szCs w:val="24"/>
                <w:lang w:eastAsia="fr-FR"/>
              </w:rPr>
            </w:pPr>
            <w:r w:rsidRPr="00BB76A9">
              <w:rPr>
                <w:rFonts w:eastAsia="Times New Roman" w:cstheme="minorHAnsi"/>
                <w:sz w:val="24"/>
                <w:szCs w:val="24"/>
                <w:lang w:eastAsia="fr-FR"/>
              </w:rPr>
              <w:t>Clôture finale de l’action : restitution effective au service destinataire (action achevée définitivement), négociation en cours, abandon (du fait de la non-pertinence de l’action après vérification), contentieux.</w:t>
            </w:r>
          </w:p>
        </w:tc>
      </w:tr>
    </w:tbl>
    <w:p w:rsidR="00BB76A9" w:rsidRPr="00BB76A9" w:rsidRDefault="00BB76A9" w:rsidP="00BB76A9">
      <w:pPr>
        <w:jc w:val="both"/>
        <w:rPr>
          <w:rFonts w:cstheme="minorHAnsi"/>
        </w:rPr>
      </w:pPr>
    </w:p>
    <w:sectPr w:rsidR="00BB76A9" w:rsidRPr="00BB7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A9"/>
    <w:rsid w:val="000F253A"/>
    <w:rsid w:val="005B586C"/>
    <w:rsid w:val="008366DB"/>
    <w:rsid w:val="00BB7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8856"/>
  <w15:chartTrackingRefBased/>
  <w15:docId w15:val="{2E4ECE88-1AD8-4BE2-B561-6E6690D6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B7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6A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B76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B76A9"/>
    <w:rPr>
      <w:color w:val="0000FF"/>
      <w:u w:val="single"/>
    </w:rPr>
  </w:style>
  <w:style w:type="character" w:styleId="lev">
    <w:name w:val="Strong"/>
    <w:basedOn w:val="Policepardfaut"/>
    <w:uiPriority w:val="22"/>
    <w:qFormat/>
    <w:rsid w:val="00BB76A9"/>
    <w:rPr>
      <w:b/>
      <w:bCs/>
    </w:rPr>
  </w:style>
  <w:style w:type="character" w:styleId="Accentuation">
    <w:name w:val="Emphasis"/>
    <w:basedOn w:val="Policepardfaut"/>
    <w:uiPriority w:val="20"/>
    <w:qFormat/>
    <w:rsid w:val="00BB7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7859">
      <w:bodyDiv w:val="1"/>
      <w:marLeft w:val="0"/>
      <w:marRight w:val="0"/>
      <w:marTop w:val="0"/>
      <w:marBottom w:val="0"/>
      <w:divBdr>
        <w:top w:val="none" w:sz="0" w:space="0" w:color="auto"/>
        <w:left w:val="none" w:sz="0" w:space="0" w:color="auto"/>
        <w:bottom w:val="none" w:sz="0" w:space="0" w:color="auto"/>
        <w:right w:val="none" w:sz="0" w:space="0" w:color="auto"/>
      </w:divBdr>
      <w:divsChild>
        <w:div w:id="173962788">
          <w:marLeft w:val="0"/>
          <w:marRight w:val="0"/>
          <w:marTop w:val="0"/>
          <w:marBottom w:val="0"/>
          <w:divBdr>
            <w:top w:val="none" w:sz="0" w:space="0" w:color="auto"/>
            <w:left w:val="none" w:sz="0" w:space="0" w:color="auto"/>
            <w:bottom w:val="none" w:sz="0" w:space="0" w:color="auto"/>
            <w:right w:val="none" w:sz="0" w:space="0" w:color="auto"/>
          </w:divBdr>
        </w:div>
      </w:divsChild>
    </w:div>
    <w:div w:id="7390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2914</Characters>
  <Application>Microsoft Office Word</Application>
  <DocSecurity>0</DocSecurity>
  <Lines>24</Lines>
  <Paragraphs>6</Paragraphs>
  <ScaleCrop>false</ScaleCrop>
  <Company>Ministère de la Culture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ALBIN-PORTIER Nathalie</dc:creator>
  <cp:keywords/>
  <dc:description/>
  <cp:lastModifiedBy>ALBIN-PORTIER Nathalie</cp:lastModifiedBy>
  <cp:revision>3</cp:revision>
  <dcterms:created xsi:type="dcterms:W3CDTF">2022-10-25T10:28:00Z</dcterms:created>
  <dcterms:modified xsi:type="dcterms:W3CDTF">2023-04-13T10:22:00Z</dcterms:modified>
</cp:coreProperties>
</file>